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2007 7 vom 2. Juli 2007</w:t>
      </w:r>
    </w:p>
    <w:p>
      <w:r>
        <w:t>GR Gerichte, 2007-07-02, DE</w:t>
      </w:r>
    </w:p>
    <w:p>
      <w:r>
        <w:rPr>
          <w:b/>
        </w:rPr>
        <w:t xml:space="preserve">Quelle: </w:t>
      </w:r>
      <w:r>
        <w:t>https://mcp.opencaselaw.ch/entscheid/gr_gerichte_VB 2007 7</w:t>
      </w:r>
    </w:p>
    <w:p>
      <w:r>
        <w:t>FR: GR_GERICHTE VB 2007 7 du 2 juillet 2007</w:t>
      </w:r>
    </w:p>
    <w:p>
      <w:r>
        <w:t>IT: GR_GERICHTE VB 2007 7 del 2 luglio 2007</w:t>
      </w:r>
    </w:p>
    <w:p>
      <w:pPr>
        <w:pStyle w:val="Heading2"/>
      </w:pPr>
      <w:r>
        <w:t>Regeste</w:t>
      </w:r>
    </w:p>
    <w:p>
      <w:r>
        <w:t>Widerhandlung gegen das Strassenverkehrsgesetz | Leitentscheid, publiziert als PKG 2008 17\x3Cbr\x3E | Öffentliche Werke-Energie-Verkehr</w:t>
      </w:r>
    </w:p>
    <w:p>
      <w:pPr>
        <w:pStyle w:val="Heading2"/>
      </w:pPr>
      <w:r>
        <w:t>Erwägungen</w:t>
      </w:r>
    </w:p>
    <w:p>
      <w:r>
        <w:rPr>
          <w:b/>
        </w:rPr>
        <w:t>E. 4</w:t>
      </w:r>
    </w:p>
    <w:p>
      <w:r>
        <w:t>Die Vorinstanz führt im angefochtenen Entscheid aus, auch nach Massgabe der Tatsachendarstellung des Angeschuldigten sei nicht ersichtlich, inwiefern die Sicherheit des Verkehrs vorliegend ein Betätigen der Hupe erfor- dert habe. Der Fahrzeugführer habe - auch bei fliessendem Verkehr - damit zu rechnen, dass das vorausfahrende Fahrzeug seine Fahrt abbremse. So halte Art. 34 Abs. 4 SVG bzw. Art. 12 Abs. 1 der Verkehrsregelnverordnung (VRV; SR 741.11) denn auch fest, dass beim Hintereinanderfahren ein ausreichender Abstand zu wahren sei, damit auch bei überraschendem Bremsen des voranfah- renden Fahrzeugs rechtzeitig gehalten werden könne. Der Abstand von A.X. zum vorausfahrenden Fahrzeug sei ausreichend gewesen. Auch soweit A.X. vorgebe, er habe mit seinem Signal die anderen Verkehrsteilnehmer warnen wollen, sei ihm nicht zu folgen. Die Auffassung, ein Hupen sei zur Warnung der Verkehrsteilnehmer zulässig, wenn das vorausfahrende Fahrzeug aus einem nicht sofort ersichtlichen Grund seine Geschwindigkeit verlangsame, sei vom Sinn und Zweck von Art. 40 SVG nicht gedeckt. Dies umso weniger, als vorlie- gend der vorausfahrende Lenker die Geschwindigkeit lediglich reduziert, nicht aber sein Fahrzeug bis zum Stillstand abgebremst habe. Es gehöre letztlich zu den Sorgfaltspflichten von A.X., das reflexartige Betätigen des akustischen Warnsignals - hervorgerufen allein durch das Abbremsen des vorausfahrenden Fahrzeugs - zu unterbinden. Habe er dies nicht oder nicht ausreichend getan, sei ihm zumindest Fahrlässigkeit vorzuwerfen. Der Rechtsvertreter des Berufungsklägers erachtet diese Begründung als nicht haltbar. Für die Beurteilung einer Gefahrensituation bleibe - so der Be- rufungskläger - einem Fahrzeuglenker je nach den Umständen äusserst wenig Zeit. Das sei auch vorliegend der Fall gewesen. Der Berufungskläger sei mit 90 bis 100 km/h in einer Fahrzeugkolonne auf einem an sich übersichtlichen Stre- ckenabschnitt unterwegs gewesen, als der vor ihm fahrende Lenker auf Höhe der mobilen Radarstation - ohne für den Berufungskläger primär erkennbaren</w:t>
      </w:r>
    </w:p>
    <w:p>
      <w:r>
        <w:t>14 Grund - sein Fahrzeug brüsk und stark abgebremst habe. A.X. habe das Fahrmanöver des voranfahrenden Fahrzeuglenkers aus nachvollziehbaren Gründen als Gefahrensituation wahrgenommen und spontan bzw. reflexartig gehupt. Auch wenn ein Fahrzeuglenker beim Hintereinanderfahren einen aus- reichenden Abstand einhalten müsse, um bei einem überraschendem Bremsen des voranfahrenden Fahrzeugs rechtzeitig halten zu können, bedeute dies in Umsetzung des aus Art. 26 SVG abgeleitenden Vertrauensgrundsatz nicht, dass jederzeit mit einem Fehlverhalten des voranfahrenden Fahrzeuglenkers gerechnet werden müsse. Berücksichtige man zusätzlich die gefahrenen Ge- schwindigkeiten, werde offensichtlich, dass A.X. durch das unnötige brüske Bremsmanöver des voranfahrenden Fahrzeuglenkers erschrocken sei, das Ge- schehen als Gefahrensituation wahrgenommen habe und in der Folge zur War- nung des vorausfahrenden wie auch des nachfolgenden Verkehrs das Hupsi- gnal abgegeben habe. a) Vorweg nicht zu überzeugen vermag es, wenn die Vorinstanz A.X. strafrechtlich zum Vorwurf macht, er habe sorgfaltswidrig das reflexartige Betäti- gen des akustischen Warnsignals nicht unterbunden. Das Schweizerische Straf- recht versteht sich als Tatstrafrecht. Von Belang ist vorweg nur ein menschli- ches Verhalten, welches tatbestandsmässig, rechtswidrig und schuldhaft ist. Ein menschliches Verhalten setzt voraus, dass der betreffende Lebensvorgang durch den Willen beeinflusst werden kann. Ein Verhalten, das auf einem nicht beherrschbaren Reflex beruht, scheidet als strafbarer Vorgang aus. Es fehlt am handlungssteuernden Willenselement (vgl. Donatsch/Tag, Strafrecht I, 8. Auf- lage, S. 80). Mit der Abgabe eines Warnsignals geht es vorliegend alsdann um die Strafbarkeit einer Handlung. Folglich kann die Strafbarkeit von A.X. auch nicht mit der fehlenden Unterbindung eines Reflexes begründet werden. Viel- mehr geht es darum, ob A.X. in der betreffenden Situation von einer Situation ausgehen durfte, welche - im Sinne einer willensgesteuerten Handlung - ein re- flexartiges Betätigen der Hupe rechtfertigte. Dass eine willensgesteuerte Hand- lung vorliegt, darf dabei als unbestritten gelten. So bringt A.X. vor, er habe - nachdem der vorausfahrende Lenker unvermittelt abgebremst habe - reflexartig gehupt, um damit die Verkehrsteilnehmer zu warnen. b) Gemäss Art. 40 SVG hat der Fahrzeugführer, wo die Sicherheit des Verkehrs es erfordert, die übrigen Strassenbenützer zu warnen. Unnötige und übermässige Warnsignale sind zu unterlassen, wobei Rufzeichen mit der Warnvorrichtung untersagt sind. Der Fahrzeugführer hat sich - wie Art. 29 VRV</w:t>
      </w:r>
    </w:p>
    <w:p>
      <w:r>
        <w:t>15 erläuternd bestimmt - so zu verhalten, dass akustische Warnsignale oder Licht- signale möglichst nicht notwendig sind. Er darf solche Signale nur geben, wo die Sicherheit des Verkehrs es erfordert. Strafbar ist nicht nur das vorsätzliche, sondern auch das fahrlässige Abgeben eines unnötigen und/oder übermässigen Warnsignals (Art. 100 Ziff. 1 SVG). Wenngleich das Dispositiv des angefochte- nen Entscheids keine Konkretisierung des Schuldvorwurfs enthält, darf aus den vorstehenden Erwägungen der Vorinstanz geschlossen werden, dass das DJSG den Berufungskläger wegen fahrlässiger Widerhandlung gegen Art. Art. 40 SVG in Verbindung mit Art. 90 Ziff. 1 SVG zu einer Busse verurteilt hat. c) Das Gesetz gesteht dem Fahrzeuglenker bei der Frage, ob und in welcher Form er von einem Warnsignal Gebrauch macht, ein gewisses Ermes- sen zu (vgl. R. Schaffhauser, Grundriss des schweizerischen Strassenverkehrs- rechts, Band I, zweite Auflage, 2002, S. 404). Dieses Ermessen bezieht sich - wie aus Art. 40 SVG folgt - auf die Wertung dessen, was die Sicherheit im Stras- senverkehr erforderlich macht. So ist das Unterlassen eines Warnzeichens nicht strafbar, wenn der Fahrzeugführer ernsthafte Gründe hatte, auf ein Warnsignal zu verzichten, selbst wenn sich dies nachträglich als Fehler erweist (BGE 97 IV 234). Gleiches muss aber auch dann gelten, wenn der Fahrzeugführer tatsäch- lich von einem Warnsignal Gebrauch macht. Mit anderen Worten macht sich der Fahrzeugführer auch dann nicht der Widerhandlung gegen Art. 40 SVG schul- dig, wenn er - aus nachvollziehbaren Überlegungen von einer Gefährdungssi- tuation ausgehend - ein unnötiges Warnsignal abgibt. Damit wird nicht zuletzt dem Umstand Rechnung getragen, dass dem Fahrzeuglenker oft wenig Zeit zur Verfügung steht, um eine Situation einzuschätzen und er zuweilen reflexartig handeln muss. Zu unterscheiden ist dieses Ermessen von der fahrlässigen Widerhand- lung, die dann gegeben ist, wenn der Fahrzeuglenker aus pflichtwidriger Unvor- sichtig verkennt, dass die Sicherheit des Verkehrs ein Warnsignal erforderlich macht, bzw. - im umgekehrten Fall - nicht erkennt, dass das Abgeben eines Warnsignals in der betreffenden Situation nicht geboten ist (Art. 12 Abs. 3 StGB). Die Unterscheidung zwischen einer (gerechtfertigten) Ermessensausü- bung und einer strafbaren Handlung in Form der fahrlässigen Begangenschaft liegt letztlich im Mass der beachteten Sorgfaltspflicht. Wer als Fahrzeugführer wohl die erforderliche Aufmerksam zeigt, dabei aber von verschiedenen, an sich möglichen und geeigneten Massnahmen nicht diejenige ergreift, welche bei nachträglicher Überlegung als die objektiv zweckmässigste erscheint, handelt</w:t>
      </w:r>
    </w:p>
    <w:p>
      <w:r>
        <w:t>16 im Rahmen seines ihm zustehenden Ermessens. Wo eine Vorkehr im Vergleich zu andern sich aber bei gehöriger Aufmerksamkeit derart aufdrängt, dass sie schon zum Zeitpunkt der Vornahme als die näher liegende und zweckmässigere erkannt werden kann, ist es dem Fahrzeuglenker hingegen als Fahrlässigkeit anzurechnen, wenn er trotzdem eine weniger geeignete trifft (vgl. dazu G. Stra- tenwerth, Schweizerisches Strafrecht, Allgemeiner Teil I, Die Straftat, 3. Auf- lage, 2005, S. 465 N. 38 mit Hinweisen). Ausgehend von dieser Unterscheidung zwischen strafrechtlich vorwerfbarem und erlaubtem Verhalten ist in einem nächsten Schritt auf den A.X. zur Last gelegten Sachverhalt einzugehen. d) Unbestritten ist, dass A.X. - mit 90 bis 100 km/h fahrend - deshalb hupte, weil der Lenker des vorausfahrenden Fahrzeugs plötzlich stark ab- bremste. Wohl trifft es zu, dass das vorausfahrende Fahrzeug nicht bis zum Still- stand abgebremst wurde. Desgleichen war die Strecke überblickbar und A.X. hielt genügend Abstand, um selbst rechtzeitig abbremsen zu können. Desglei- chen war der Grund für das Abbremsen des vorausfahrenden Lenkers für A.X. - wie das DJSG festhielt - nicht ersichtlich. Die in diesem Zusammenhang ge- troffene Feststellung der Vorinstanz, Art. 40 SVG lasse es nicht zu, in einer sol- chen Situation zur Warnung der andern Verkehrsteilnehmer zu hupen, weil be- reits eine gesetzliche Verpflichtung bestehe, genügend Abstand zu halten, ist jedoch in zweifacher Hinsicht zu relativieren. Der Umstand, dass A.X. genügend Abstand zum vorausfahrenden Fahrzeug einhielt, besagt zum einen nicht, dass der nachkommende Verkehrsteilnehmer ausreichend Abstand zu ihm selbst hielt. Andererseits dient der ausreichende Abstand aber auch nicht nur dazu, das Primäre vorzukehren, sondern alle in der betreffenden Situation angezeig- ten Massnahmen zu treffen. Das Abbremsen allein reicht nicht immer. Auch in übersichtlichen Streckenabschnitten und bei ausreichenden Abständen beste- hen - je nach Situation - zusätzliche, der Verkehrssicherheit dienende Pflichten. So ist der Fahrzeugführer beispielsweise gehalten, am (noch) fahrenden Fahr- zeug vor einem Fahrzeugstau die Warnblinklichter einzuschalten, um so den nachkommenden Verkehr zu warnen (Art. 23 Abs. 3 lit. b VRV). Dabei kann wohl schwerlich die Meinung sein, dass der Fahrzeugführer mit diesem Warnsignal warten muss, bis das vor ihm fahrende Fahrzeug zum Stillstand gekommen ist. Auch ist irrelevant, ob der Grund für das Abbremsen ersichtlich ist oder nicht. Ebenso wenig kann das Einschalten der Warnblinklichter davon abhängig ge- macht werden, ob nun ein oder mehrere vorausfahrende Fahrzeuge ihre Ge- schwindigkeit abrupt reduzieren und die Abstände zu diesem Zeitpunkt einge- halten werden oder nicht. Solche Differenzierungen rechtfertigen sich umso we-</w:t>
      </w:r>
    </w:p>
    <w:p>
      <w:r>
        <w:t>17 niger dann, wenn - wie es vorliegend der Fall war - die gefahrenen Geschwin- digkeiten relativ hoch sind. Insofern lässt sich auch nicht ohne weiteres zur Fest- stellung gelangen, im vorliegenden Fall, wo der vorausfahrende Fahrzeuglenker sein Fahrzeug unvermittelt aus einer Geschwindigkeit von rund 90 km/h ab- bremste, habe für den mit ausreichendem Abstand hintanfahrenden Berufungs- kläger von vornherein klar sein müssen, dass er - ausser dem eigenen Abbrems- manöver - nichts vorzukehren braucht. Zwar ist nun nicht zu übersehen, dass zwischen dem Einschalten der Warnblinkanlage und dem Abgeben eines Hupsignals als Reaktion auf ein Ab- bremsen des vorausfahrenden Fahrzeugs deutliche Unterschiede bestehen. Das Einschalten der Warnblinkanlage wird in der Regel sofort und ungeachtet der eigenen Einschätzung der Situation als Anzeige einer Gefahr bzw. einer aussergewöhnlichen Situation verstanden. Demgegenüber wird ein Hupsignal, wie es vorliegend abgegeben wurde, von anderen Verkehrsteilnehmern nach- gerade dann, wenn sich die Gefahr nicht weiter konkretisiert, weniger als ein der Sicherheit des Verkehrs dienendes Signal, sondern eher als unliebsame ver- kehrserzieherische Reaktion verstanden. Tatsache bleibt aber, dass auch das Hupen die anderen Verkehrsteilnehmer auf die betreffende Situation aufmerk- sam macht, sie mithin in einer Situation, wie sie vorstehend dargelegt wurde, warnt. Im Gegensatz zu optischen Warnsignalen erfolgt das Hupen dabei oft reflexartiger und auch von der Wahrnehmung her besteht schneller eine Warn- wirkung. Vorliegend ist nach Massgabe der vorinstanzlichen Feststellungen da- von auszugehen, dass A.X., der mit einer Geschwindigkeit von ca. 90 km/h un- terwegs war, sich durch das abrupte Bremsmanöver des vorausfahrenden Len- kers gefährdet erachtete und er die Hupe zur Warnung der anderen Teilnehmer reflexartig einsetzte. Zwar erwies sich die Situation in der Folge objektiv weit weniger gefährlich, nachdem der vorausfahrende Lenker sein Fahrzeug nicht gänzlich abbremste. Insofern erwies sich das Hupen auch als unnötig. Ange- sichts dessen, dass das Hupsignal letztlich dennoch in einer Situation abgeben wurde, die nicht vorweg eine ernstzunehmende Verkehrsgefährdung aus- schloss, eine Reaktion aufgrund der engen zeitlichen Verhältnisse zügig zu er- folgen hatte und das Signal durchaus geeignet war, andere Verkehrsteilnehmer sofort zu warnen, muss die Abgabe des Signals dem A.X. zustehenden Ermes- sensbereich zugeordnet werden. Der Vorwurf, der Berufungskläger habe fahr- lässig ohne Grund und deshalb unnötig von einem Warnsignal Gebrauch ge- macht, rechtfertigt sich nicht. A.X. ist demnach in Gutheissung der Berufung</w:t>
      </w:r>
    </w:p>
    <w:p>
      <w:r>
        <w:t>18 vom Vorwurf der Missachtung von Art. 40 SVG in Verbindung mit Art. 90 Ziff. 1 SVG freizusprechen.</w:t>
      </w:r>
    </w:p>
    <w:p>
      <w:r>
        <w:rPr>
          <w:b/>
        </w:rPr>
        <w:t>E. 5</w:t>
      </w:r>
    </w:p>
    <w:p>
      <w:r>
        <w:t>Bei diesem Ausgang gehen die Kosten der Vorinstanz und die Kosten des Berufungsverfahrens zu Lasten des Kantons Graubünden (Art. 160 Abs. 3 StPO). Gemäss Art. 160 Abs. 4 StPO ist dem Berufungskläger überdies eine ausseramtliche Entschädigung zuzusprechen. Unter Berücksichtigung des in der Sache erforderlichen, in Honorarnoten ausgewiesenen Aufwands er- scheint eine Entschädigung von Fr. 1'462.90 für das erstinstanzliche sowie Fr. 1'728.90 für das zweitinstanzliche Verfahren, total somit Fr. 3'191.80 inklusive Mehrwertsteuer, der Sache angemessen.</w:t>
      </w:r>
    </w:p>
    <w:p>
      <w:r>
        <w:t>19 Demnach erkennt der Kantonsgerichtsausschuss: 1. Die Berufung wird gutgeheissen, die angefochtene Verfügung aufgeho- ben und A.X. vom Vorwurf der Widerhandlung gegen Art. 40 SVG in Ver- bindung mit Art. 90 Ziff. 1 SVG freigesprochen. 2. Die Kosten des Verfahrens vor dem Departement für Justiz, Sicherheit und Gesundheit Graubünden sowie die Kosten des Berufungsverfahrens gehen zu Lasten des Kantons Graubünden, der zudem den Berufungs- kläger für beide Verfahren ausseramtlich mit insgesamt Fr. 3'191.80. in- klusive Mehrwertsteuer zu entschädigen hat. 3. Gegen diese Entscheidung kann gemäss Art. 78 des Bundesgerichtsge- setzes (BGG) Beschwerde in Strafsachen an das Schweizerische Bun- desgericht geführt werden. Diese ist dem Bundesgericht schriftlich, innert 30 Tagen seit Eröffnung der vollständigen Ausfertigung der Entscheidung in der gemäss Art. 42 f. BGG vorgeschriebenen Weise einzureichen. Für die Zulässigkeit, die Beschwerdelegitimation, die weiteren Voraussetzun- gen und das Verfahren der Beschwerde gelten die Art. 29 ff., 78 ff. und 90 ff. BGG. 4. Mitteilung an: __________ Für den Kantonsgerichtsausschuss von Graubünden Der Vizepräsident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